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8F4B32">
        <w:rPr>
          <w:b/>
          <w:bCs/>
          <w:sz w:val="32"/>
          <w:szCs w:val="32"/>
        </w:rPr>
        <w:t>A. Dvořáka</w:t>
      </w:r>
      <w:r>
        <w:rPr>
          <w:b/>
          <w:bCs/>
          <w:sz w:val="32"/>
          <w:szCs w:val="32"/>
        </w:rPr>
        <w:t>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0E5859">
        <w:tab/>
      </w:r>
      <w:r w:rsidRPr="00063C23">
        <w:t xml:space="preserve">1. </w:t>
      </w:r>
      <w:r w:rsidR="0085303F" w:rsidRPr="00063C23">
        <w:t>červe</w:t>
      </w:r>
      <w:r w:rsidR="00121F81" w:rsidRPr="00063C23">
        <w:t>n</w:t>
      </w:r>
      <w:r w:rsidR="00CD7DF1" w:rsidRPr="00063C23">
        <w:t>ec</w:t>
      </w:r>
      <w:r w:rsidR="00121F81" w:rsidRPr="00063C23">
        <w:t xml:space="preserve"> </w:t>
      </w:r>
      <w:r w:rsidRPr="00063C23">
        <w:t>201</w:t>
      </w:r>
      <w:r w:rsidR="00CD7DF1" w:rsidRPr="00063C23">
        <w:t>4</w:t>
      </w:r>
      <w:r w:rsidRPr="00257826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lastRenderedPageBreak/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</w:t>
            </w:r>
            <w:r>
              <w:lastRenderedPageBreak/>
              <w:t xml:space="preserve">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lastRenderedPageBreak/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</w:t>
            </w:r>
            <w:r w:rsidRPr="00C56D1E">
              <w:lastRenderedPageBreak/>
              <w:t>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lastRenderedPageBreak/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>Nabídková cena</w:t>
            </w:r>
          </w:p>
        </w:tc>
        <w:tc>
          <w:tcPr>
            <w:tcW w:w="5103" w:type="dxa"/>
          </w:tcPr>
          <w:p w:rsidR="004865CE" w:rsidRPr="00964C50" w:rsidRDefault="00121F81" w:rsidP="00121F81">
            <w:pPr>
              <w:pStyle w:val="Odstavecseseznamem"/>
              <w:ind w:left="0"/>
              <w:rPr>
                <w:color w:val="FF0000"/>
              </w:rPr>
            </w:pPr>
            <w:r>
              <w:t xml:space="preserve">Zvolený jednokriteriální způsob hodnocení reflektuje skutečnost, že nabídková cena je pro </w:t>
            </w:r>
            <w:r>
              <w:lastRenderedPageBreak/>
              <w:t>zadavatele v tomto případě rozhodující.</w:t>
            </w: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063C23" w:rsidRDefault="008F4B32" w:rsidP="00177BD0">
            <w:pPr>
              <w:pStyle w:val="Odstavecseseznamem"/>
              <w:ind w:left="0"/>
            </w:pPr>
            <w:r>
              <w:t>1.440.000</w:t>
            </w:r>
            <w:r w:rsidR="00562C3C" w:rsidRPr="00063C23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4B32">
      <w:rPr>
        <w:rStyle w:val="slostrnky"/>
        <w:noProof/>
      </w:rPr>
      <w:t>4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C5187"/>
    <w:rsid w:val="001F5617"/>
    <w:rsid w:val="00203B02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32E3"/>
    <w:rsid w:val="005A7245"/>
    <w:rsid w:val="005B5831"/>
    <w:rsid w:val="005C6956"/>
    <w:rsid w:val="005D4403"/>
    <w:rsid w:val="005E3832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D4B8C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8F4B32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90B69"/>
    <w:rsid w:val="00996603"/>
    <w:rsid w:val="009B74C6"/>
    <w:rsid w:val="009C1AAB"/>
    <w:rsid w:val="009D2F5C"/>
    <w:rsid w:val="009D3E21"/>
    <w:rsid w:val="009E5D92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12A86"/>
    <w:rsid w:val="00F146AA"/>
    <w:rsid w:val="00F37493"/>
    <w:rsid w:val="00F42894"/>
    <w:rsid w:val="00F42B20"/>
    <w:rsid w:val="00F66897"/>
    <w:rsid w:val="00F82D11"/>
    <w:rsid w:val="00F830A7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3</cp:revision>
  <cp:lastPrinted>2014-02-26T11:21:00Z</cp:lastPrinted>
  <dcterms:created xsi:type="dcterms:W3CDTF">2014-03-10T11:28:00Z</dcterms:created>
  <dcterms:modified xsi:type="dcterms:W3CDTF">2014-03-10T11:29:00Z</dcterms:modified>
</cp:coreProperties>
</file>